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75" w:rsidRDefault="00845775" w:rsidP="008457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45775" w:rsidRDefault="00845775" w:rsidP="008457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работы Счетной палаты горо</w:t>
      </w:r>
      <w:r w:rsidR="00674F0D">
        <w:rPr>
          <w:rFonts w:ascii="Times New Roman" w:hAnsi="Times New Roman"/>
          <w:b/>
          <w:sz w:val="28"/>
          <w:szCs w:val="28"/>
        </w:rPr>
        <w:t>дского округа Домодедово за 202</w:t>
      </w:r>
      <w:r w:rsidR="00674F0D" w:rsidRPr="00674F0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год.</w:t>
      </w:r>
    </w:p>
    <w:p w:rsidR="00845775" w:rsidRDefault="00845775" w:rsidP="0084577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Счетная палата городского округа Домодедово осуществляла свою деятельность на основании законодательных актов Российской Федерации, Московской области, муниципальных нормативных и правовых актов городского округа Домодедово, Положения о Счетной палате  городского округа Домодедово, утвержденного решением Совета депутатов городского округа Домодедово  от 10.08.2022г. № 1-4/1251  (далее – Положение). </w:t>
      </w:r>
    </w:p>
    <w:p w:rsidR="00845775" w:rsidRDefault="00845775" w:rsidP="0084577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>Деятельность Счетной палаты городского округа Домодедово в соответствии с Положением осуществлялась на основе принципов законности, независимости, объективности и гласности. Одной из форм реализации принципа гласности является отчет о деятельности Счетной палаты. В соответствии с п.п.7.2. п.7 Положения о Счетной палате городского округа Домодедово отчет представляется в Совет депутатов, главе городского округа Домодедово, а также подлежит публикации в средствах массовой информации.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     В настоящем отчете отражена деятельность Счетной палаты по реализации в 202</w:t>
      </w:r>
      <w:r w:rsidR="00674F0D" w:rsidRPr="00674F0D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году задач, установленных Бюджетным кодексом Российской Федерации (далее - БК РФ), федеральными законами и иными нормативными правовыми актами Российской Федерации и Московской области, Уставом городского округа Домодедово, нормативными правовыми актами  городского округа Домодедово.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     В соответствии с планом проведения проверок и внесенными коррективами  в работу  Счетной палаты  на 202</w:t>
      </w:r>
      <w:r w:rsidR="00674F0D" w:rsidRPr="00674F0D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674F0D">
        <w:rPr>
          <w:rFonts w:ascii="Times New Roman" w:hAnsi="Times New Roman"/>
          <w:sz w:val="24"/>
          <w:szCs w:val="24"/>
          <w:lang w:eastAsia="ru-RU"/>
        </w:rPr>
        <w:t xml:space="preserve"> в отчетном периоде проведено </w:t>
      </w:r>
      <w:r w:rsidR="00674F0D" w:rsidRPr="00674F0D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>  контрольных  мероприяти</w:t>
      </w:r>
      <w:r w:rsidR="00674F0D">
        <w:rPr>
          <w:rFonts w:ascii="Times New Roman" w:hAnsi="Times New Roman"/>
          <w:sz w:val="24"/>
          <w:szCs w:val="24"/>
          <w:lang w:eastAsia="ru-RU"/>
        </w:rPr>
        <w:t>й и 10</w:t>
      </w:r>
      <w:r>
        <w:rPr>
          <w:rFonts w:ascii="Times New Roman" w:hAnsi="Times New Roman"/>
          <w:sz w:val="24"/>
          <w:szCs w:val="24"/>
          <w:lang w:eastAsia="ru-RU"/>
        </w:rPr>
        <w:t xml:space="preserve"> экспертно-аналитических мероприятий, в том числе:</w:t>
      </w:r>
    </w:p>
    <w:p w:rsidR="00845775" w:rsidRDefault="00845775" w:rsidP="0084577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внешняя проверка отчета об исполнении бюджета за 202</w:t>
      </w:r>
      <w:r w:rsidR="00674F0D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год и  проверка бюджетной отчетности главных администраторов бюджетных средств;</w:t>
      </w:r>
    </w:p>
    <w:p w:rsidR="00845775" w:rsidRDefault="00845775" w:rsidP="00845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 проекта решения Совета депутатов городского округа Домодедово «О бюджете городского округа Домодедово на 202</w:t>
      </w:r>
      <w:r w:rsidR="00674F0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74F0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674F0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845775" w:rsidRDefault="00845775" w:rsidP="008457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Общий объем средств, охваченных контрольными мероприятиями в отчетном периоде 202</w:t>
      </w:r>
      <w:r w:rsidR="00674F0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года, составил  </w:t>
      </w:r>
      <w:r w:rsidR="00674F0D">
        <w:rPr>
          <w:rFonts w:ascii="Times New Roman" w:hAnsi="Times New Roman"/>
          <w:sz w:val="24"/>
          <w:szCs w:val="24"/>
        </w:rPr>
        <w:t>4 387 236,4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руб.</w:t>
      </w:r>
    </w:p>
    <w:p w:rsidR="00845775" w:rsidRDefault="00845775" w:rsidP="0084577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Объем выявленных в отчетном периоде нарушений законодательства составил </w:t>
      </w:r>
      <w:r w:rsidR="00674F0D">
        <w:rPr>
          <w:rFonts w:ascii="Times New Roman" w:hAnsi="Times New Roman"/>
          <w:sz w:val="24"/>
          <w:szCs w:val="24"/>
        </w:rPr>
        <w:t>17 042,18</w:t>
      </w:r>
      <w:r>
        <w:rPr>
          <w:rFonts w:ascii="Times New Roman" w:hAnsi="Times New Roman"/>
          <w:sz w:val="24"/>
          <w:szCs w:val="24"/>
        </w:rPr>
        <w:t xml:space="preserve"> тыс. руб.    </w:t>
      </w:r>
    </w:p>
    <w:p w:rsidR="00845775" w:rsidRDefault="00674F0D" w:rsidP="00845775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Подготовлено 14</w:t>
      </w:r>
      <w:r w:rsidR="00845775">
        <w:rPr>
          <w:rFonts w:ascii="Times New Roman" w:hAnsi="Times New Roman"/>
          <w:sz w:val="24"/>
          <w:szCs w:val="24"/>
        </w:rPr>
        <w:t>6</w:t>
      </w:r>
      <w:r w:rsidR="00845775">
        <w:rPr>
          <w:rFonts w:ascii="Times New Roman" w:hAnsi="Times New Roman"/>
          <w:color w:val="082062"/>
          <w:sz w:val="24"/>
          <w:szCs w:val="24"/>
        </w:rPr>
        <w:t xml:space="preserve"> </w:t>
      </w:r>
      <w:r w:rsidR="00845775">
        <w:rPr>
          <w:rFonts w:ascii="Times New Roman" w:hAnsi="Times New Roman"/>
          <w:sz w:val="24"/>
          <w:szCs w:val="24"/>
        </w:rPr>
        <w:t>заключени</w:t>
      </w:r>
      <w:r>
        <w:rPr>
          <w:rFonts w:ascii="Times New Roman" w:hAnsi="Times New Roman"/>
          <w:sz w:val="24"/>
          <w:szCs w:val="24"/>
        </w:rPr>
        <w:t>й</w:t>
      </w:r>
      <w:r w:rsidR="00845775">
        <w:rPr>
          <w:rFonts w:ascii="Times New Roman" w:hAnsi="Times New Roman"/>
          <w:sz w:val="24"/>
          <w:szCs w:val="24"/>
        </w:rPr>
        <w:t xml:space="preserve"> по внесению изменений в муниципальные целевые программы. </w:t>
      </w:r>
    </w:p>
    <w:p w:rsidR="00845775" w:rsidRDefault="00845775" w:rsidP="008457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штатному расписанию численность Счетной палаты городского округа Домодедово в 202</w:t>
      </w:r>
      <w:r w:rsidR="00674F0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составляла 3 единицы.</w:t>
      </w:r>
    </w:p>
    <w:p w:rsidR="00845775" w:rsidRDefault="00845775" w:rsidP="008457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сотрудники Счетной палаты в 202</w:t>
      </w:r>
      <w:r w:rsidR="00674F0D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году являлись муниципальными служащими, имеют высшее профессиональное образование.</w:t>
      </w:r>
    </w:p>
    <w:p w:rsidR="00845775" w:rsidRDefault="00845775" w:rsidP="00845775"/>
    <w:p w:rsidR="00370199" w:rsidRDefault="00370199"/>
    <w:sectPr w:rsidR="0037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75"/>
    <w:rsid w:val="00370199"/>
    <w:rsid w:val="00674F0D"/>
    <w:rsid w:val="0084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577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57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2024-01-16T13:33:00Z</dcterms:created>
  <dcterms:modified xsi:type="dcterms:W3CDTF">2024-01-16T13:37:00Z</dcterms:modified>
</cp:coreProperties>
</file>